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29" w:rsidRPr="00E053CF" w:rsidRDefault="00CD2FCD" w:rsidP="002A7734">
      <w:pPr>
        <w:pStyle w:val="Heading1"/>
        <w:spacing w:before="0"/>
        <w:jc w:val="center"/>
        <w:rPr>
          <w:noProof/>
          <w:sz w:val="32"/>
          <w:lang w:val="fr-CA"/>
        </w:rPr>
      </w:pPr>
      <w:bookmarkStart w:id="0" w:name="lt_pId001"/>
      <w:bookmarkStart w:id="1" w:name="_GoBack"/>
      <w:bookmarkEnd w:id="1"/>
      <w:r>
        <w:rPr>
          <w:noProof/>
          <w:sz w:val="32"/>
        </w:rPr>
        <w:t xml:space="preserve">Assurance </w:t>
      </w:r>
      <w:r w:rsidR="00C77A9E" w:rsidRPr="00C77A9E">
        <w:rPr>
          <w:noProof/>
          <w:sz w:val="32"/>
        </w:rPr>
        <w:t>invalidité</w:t>
      </w:r>
      <w:r w:rsidR="00383C60">
        <w:rPr>
          <w:noProof/>
          <w:sz w:val="32"/>
        </w:rPr>
        <w:t> </w:t>
      </w:r>
      <w:r w:rsidR="00C77A9E" w:rsidRPr="00C77A9E">
        <w:rPr>
          <w:noProof/>
          <w:sz w:val="32"/>
        </w:rPr>
        <w:t>(AI)</w:t>
      </w:r>
      <w:bookmarkEnd w:id="0"/>
    </w:p>
    <w:p w:rsidR="00E33B5D" w:rsidRPr="00E053CF" w:rsidRDefault="00FF5DBB" w:rsidP="00E33B5D">
      <w:pPr>
        <w:spacing w:after="0"/>
        <w:rPr>
          <w:noProof/>
          <w:sz w:val="32"/>
          <w:lang w:val="fr-CA"/>
        </w:rPr>
      </w:pPr>
      <w:r w:rsidRPr="00E053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F6739" wp14:editId="6AD7B58B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7110095" cy="2794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095" cy="279400"/>
                        </a:xfrm>
                        <a:prstGeom prst="roundRect">
                          <a:avLst/>
                        </a:prstGeom>
                        <a:solidFill>
                          <a:srgbClr val="399A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A7" w:rsidRPr="00AB4A1D" w:rsidRDefault="00AB4A1D" w:rsidP="001865B4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lang w:val="fr-CA"/>
                              </w:rPr>
                            </w:pPr>
                            <w:r w:rsidRPr="00AB4A1D">
                              <w:rPr>
                                <w:bCs/>
                                <w:color w:val="FFFFFF" w:themeColor="background1"/>
                                <w:lang w:val="fr-CA"/>
                              </w:rPr>
                              <w:t>Des mesures spéciales ont été prises pour remédier à l</w:t>
                            </w:r>
                            <w:r w:rsidR="00CD2FCD">
                              <w:rPr>
                                <w:bCs/>
                                <w:color w:val="FFFFFF" w:themeColor="background1"/>
                                <w:lang w:val="fr-CA"/>
                              </w:rPr>
                              <w:t>’</w:t>
                            </w:r>
                            <w:r w:rsidRPr="00AB4A1D">
                              <w:rPr>
                                <w:bCs/>
                                <w:color w:val="FFFFFF" w:themeColor="background1"/>
                                <w:lang w:val="fr-CA"/>
                              </w:rPr>
                              <w:t xml:space="preserve">arriéré 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fr-CA"/>
                              </w:rPr>
                              <w:t>des demandes d’A</w:t>
                            </w:r>
                            <w:r w:rsidRPr="00AB4A1D">
                              <w:rPr>
                                <w:bCs/>
                                <w:color w:val="FFFFFF" w:themeColor="background1"/>
                                <w:lang w:val="fr-CA"/>
                              </w:rPr>
                              <w:t xml:space="preserve">I 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fr-CA"/>
                              </w:rPr>
                              <w:t>lié à Phé</w:t>
                            </w:r>
                            <w:r w:rsidRPr="00AB4A1D">
                              <w:rPr>
                                <w:bCs/>
                                <w:color w:val="FFFFFF" w:themeColor="background1"/>
                                <w:lang w:val="fr-CA"/>
                              </w:rPr>
                              <w:t>nix</w:t>
                            </w:r>
                            <w:r w:rsidR="001865B4" w:rsidRPr="00AB4A1D">
                              <w:rPr>
                                <w:bCs/>
                                <w:color w:val="FFFFFF" w:themeColor="background1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26" style="position:absolute;margin-left:-43pt;margin-top:4.35pt;width:559.8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" fillcolor="#399ab5" stroked="f" strokeweight=".5pt">
                <v:textbox>
                  <w:txbxContent>
                    <w:p w:rsidR="006F72A7" w:rsidRPr="00AB4A1D" w:rsidRDefault="00AB4A1D" w:rsidP="001865B4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lang w:val="fr-CA"/>
                        </w:rPr>
                      </w:pPr>
                      <w:r w:rsidRPr="00AB4A1D">
                        <w:rPr>
                          <w:bCs/>
                          <w:color w:val="FFFFFF" w:themeColor="background1"/>
                          <w:lang w:val="fr-CA"/>
                        </w:rPr>
                        <w:t>Des mesures spéciales ont été prises pour remédier à l</w:t>
                      </w:r>
                      <w:r w:rsidR="00CD2FCD">
                        <w:rPr>
                          <w:bCs/>
                          <w:color w:val="FFFFFF" w:themeColor="background1"/>
                          <w:lang w:val="fr-CA"/>
                        </w:rPr>
                        <w:t>’</w:t>
                      </w:r>
                      <w:r w:rsidRPr="00AB4A1D">
                        <w:rPr>
                          <w:bCs/>
                          <w:color w:val="FFFFFF" w:themeColor="background1"/>
                          <w:lang w:val="fr-CA"/>
                        </w:rPr>
                        <w:t xml:space="preserve">arriéré </w:t>
                      </w:r>
                      <w:r>
                        <w:rPr>
                          <w:bCs/>
                          <w:color w:val="FFFFFF" w:themeColor="background1"/>
                          <w:lang w:val="fr-CA"/>
                        </w:rPr>
                        <w:t>des demandes d’A</w:t>
                      </w:r>
                      <w:r w:rsidRPr="00AB4A1D">
                        <w:rPr>
                          <w:bCs/>
                          <w:color w:val="FFFFFF" w:themeColor="background1"/>
                          <w:lang w:val="fr-CA"/>
                        </w:rPr>
                        <w:t xml:space="preserve">I </w:t>
                      </w:r>
                      <w:r>
                        <w:rPr>
                          <w:bCs/>
                          <w:color w:val="FFFFFF" w:themeColor="background1"/>
                          <w:lang w:val="fr-CA"/>
                        </w:rPr>
                        <w:t>lié à Phé</w:t>
                      </w:r>
                      <w:r w:rsidRPr="00AB4A1D">
                        <w:rPr>
                          <w:bCs/>
                          <w:color w:val="FFFFFF" w:themeColor="background1"/>
                          <w:lang w:val="fr-CA"/>
                        </w:rPr>
                        <w:t>nix</w:t>
                      </w:r>
                      <w:r w:rsidR="001865B4" w:rsidRPr="00AB4A1D">
                        <w:rPr>
                          <w:bCs/>
                          <w:color w:val="FFFFFF" w:themeColor="background1"/>
                          <w:lang w:val="fr-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632" w:rsidRPr="00E053CF" w:rsidRDefault="000F3B06" w:rsidP="00F27632">
      <w:pPr>
        <w:rPr>
          <w:noProof/>
          <w:lang w:val="fr-CA"/>
        </w:rPr>
      </w:pPr>
      <w:r w:rsidRPr="00E053C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EF9F28" wp14:editId="5FB970A9">
                <wp:simplePos x="0" y="0"/>
                <wp:positionH relativeFrom="column">
                  <wp:posOffset>-552450</wp:posOffset>
                </wp:positionH>
                <wp:positionV relativeFrom="paragraph">
                  <wp:posOffset>221615</wp:posOffset>
                </wp:positionV>
                <wp:extent cx="7116445" cy="1282700"/>
                <wp:effectExtent l="0" t="0" r="27305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6445" cy="1282700"/>
                          <a:chOff x="7224" y="-597541"/>
                          <a:chExt cx="7073887" cy="39155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7224" y="-597538"/>
                            <a:ext cx="7073887" cy="3915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517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Pentagon 11"/>
                        <wps:cNvSpPr/>
                        <wps:spPr>
                          <a:xfrm>
                            <a:off x="13968" y="-597541"/>
                            <a:ext cx="1711092" cy="391550"/>
                          </a:xfrm>
                          <a:prstGeom prst="homePlate">
                            <a:avLst>
                              <a:gd name="adj" fmla="val 29361"/>
                            </a:avLst>
                          </a:prstGeom>
                          <a:solidFill>
                            <a:srgbClr val="005172"/>
                          </a:solidFill>
                          <a:ln w="19050">
                            <a:solidFill>
                              <a:srgbClr val="00517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FB3" w:rsidRPr="00AB4A1D" w:rsidRDefault="00AB4A1D" w:rsidP="00B45FB3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  <w:lang w:val="fr-CA"/>
                                </w:rPr>
                              </w:pPr>
                              <w:r w:rsidRPr="00AB4A1D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  <w:lang w:val="fr-CA"/>
                                </w:rPr>
                                <w:t>Comprendre l’a</w:t>
                              </w:r>
                              <w:bookmarkStart w:id="2" w:name="lt_pId003"/>
                              <w:r w:rsidR="00C77A9E" w:rsidRPr="00AB4A1D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  <w:lang w:val="fr-CA"/>
                                </w:rPr>
                                <w:t>ssurance</w:t>
                              </w:r>
                              <w:r w:rsidR="00CD2FCD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  <w:lang w:val="fr-CA"/>
                                </w:rPr>
                                <w:t xml:space="preserve"> </w:t>
                              </w:r>
                              <w:r w:rsidR="00C77A9E" w:rsidRPr="00AB4A1D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  <w:lang w:val="fr-CA"/>
                                </w:rPr>
                                <w:t>invalidité (AI)</w:t>
                              </w:r>
                              <w:bookmarkEnd w:id="2"/>
                            </w:p>
                            <w:p w:rsidR="00E35F47" w:rsidRPr="00C40A18" w:rsidRDefault="00E35F47" w:rsidP="00E404B7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43.5pt;margin-top:17.45pt;width:560.35pt;height:101pt;z-index:251662336;mso-width-relative:margin;mso-height-relative:margin" coordorigin="72,-5975" coordsize="70738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">
                <v:rect id="Rectangle 10" o:spid="_x0000_s1028" style="position:absolute;left:72;top:-5975;width:70739;height: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EdMUA&#10;AADbAAAADwAAAGRycy9kb3ducmV2LnhtbESPQUvDQBCF74L/YRmhN7uppVJit0UkpenRKKi3ITtm&#10;o9nZkN2m6b/vHARvM7w3732z2U2+UyMNsQ1sYDHPQBHXwbbcGHh/29+vQcWEbLELTAYuFGG3vb3Z&#10;YG7DmV9prFKjJIRjjgZcSn2udawdeYzz0BOL9h0Gj0nWodF2wLOE+04/ZNmj9tiyNDjs6cVR/Vud&#10;vIHlT3b4uBRFsT6uiuprLMtp4T6Nmd1Nz0+gEk3p3/x3XVrBF3r5RQ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R0xQAAANsAAAAPAAAAAAAAAAAAAAAAAJgCAABkcnMv&#10;ZG93bnJldi54bWxQSwUGAAAAAAQABAD1AAAAigMAAAAA&#10;" filled="f" strokecolor="#005172" strokeweight="1.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1" o:spid="_x0000_s1029" type="#_x0000_t15" style="position:absolute;left:139;top:-5975;width:17111;height: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5g8EA&#10;AADbAAAADwAAAGRycy9kb3ducmV2LnhtbERPTWvCQBC9F/oflil4qxs9FIlZRYTS0oJoFM9DdpIN&#10;ZmfT7DaJ/94VBG/zeJ+TrUfbiJ46XztWMJsmIIgLp2uuFJyOn+8LED4ga2wck4IreVivXl8yTLUb&#10;+EB9HioRQ9inqMCE0KZS+sKQRT91LXHkStdZDBF2ldQdDjHcNnKeJB/SYs2xwWBLW0PFJf+3Cvr5&#10;7mBq1H/l71fZ7s/NcPnJ90pN3sbNEkSgMTzFD/e3jvNncP8lHi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OYPBAAAA2wAAAA8AAAAAAAAAAAAAAAAAmAIAAGRycy9kb3du&#10;cmV2LnhtbFBLBQYAAAAABAAEAPUAAACGAwAAAAA=&#10;" adj="20149" fillcolor="#005172" strokecolor="#005172" strokeweight="1.5pt">
                  <v:textbox>
                    <w:txbxContent>
                      <w:p w:rsidR="00B45FB3" w:rsidRPr="00AB4A1D" w:rsidRDefault="00AB4A1D" w:rsidP="00B45FB3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szCs w:val="36"/>
                            <w:lang w:val="fr-CA"/>
                          </w:rPr>
                        </w:pPr>
                        <w:r w:rsidRPr="00AB4A1D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szCs w:val="36"/>
                            <w:lang w:val="fr-CA"/>
                          </w:rPr>
                          <w:t>Comprendre l’a</w:t>
                        </w:r>
                        <w:bookmarkStart w:id="2" w:name="lt_pId003"/>
                        <w:r w:rsidR="00C77A9E" w:rsidRPr="00AB4A1D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szCs w:val="36"/>
                            <w:lang w:val="fr-CA"/>
                          </w:rPr>
                          <w:t>ssurance</w:t>
                        </w:r>
                        <w:r w:rsidR="00CD2FCD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szCs w:val="36"/>
                            <w:lang w:val="fr-CA"/>
                          </w:rPr>
                          <w:t xml:space="preserve"> </w:t>
                        </w:r>
                        <w:r w:rsidR="00C77A9E" w:rsidRPr="00AB4A1D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szCs w:val="36"/>
                            <w:lang w:val="fr-CA"/>
                          </w:rPr>
                          <w:t>invalidité (AI)</w:t>
                        </w:r>
                        <w:bookmarkEnd w:id="2"/>
                      </w:p>
                      <w:p w:rsidR="00E35F47" w:rsidRPr="00C40A18" w:rsidRDefault="00E35F47" w:rsidP="00E404B7">
                        <w:pPr>
                          <w:pStyle w:val="NormalWeb"/>
                          <w:spacing w:after="0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053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3B15C" wp14:editId="1F07E52D">
                <wp:simplePos x="0" y="0"/>
                <wp:positionH relativeFrom="column">
                  <wp:posOffset>1160145</wp:posOffset>
                </wp:positionH>
                <wp:positionV relativeFrom="paragraph">
                  <wp:posOffset>221615</wp:posOffset>
                </wp:positionV>
                <wp:extent cx="5379085" cy="12820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A1D" w:rsidRPr="00642A30" w:rsidRDefault="00383C60" w:rsidP="00F82307">
                            <w:pPr>
                              <w:spacing w:after="120" w:line="240" w:lineRule="auto"/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Vous</w:t>
                            </w:r>
                            <w:r w:rsidR="008B1ED3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devez attendre 13 semaines ou utilisez tous les congés maladie que vous avez </w:t>
                            </w:r>
                            <w:r w:rsidR="000D58F2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accumulés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(</w:t>
                            </w:r>
                            <w:r w:rsidR="000E03A1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selon</w:t>
                            </w:r>
                            <w:r w:rsidR="000E03A1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ce qui est le plus long) avant d’être admissible </w:t>
                            </w:r>
                            <w:r w:rsidR="008B1ED3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aux prestations d</w:t>
                            </w:r>
                            <w:r w:rsidR="00CD2FC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8B1ED3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AI.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Si vous n’avez </w:t>
                            </w:r>
                            <w:r w:rsidR="000D58F2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pas accumulé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suffisamment de congé</w:t>
                            </w:r>
                            <w:r w:rsidR="00CD2FC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s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maladie pour couvrir la </w:t>
                            </w:r>
                            <w:r w:rsidR="008B1ED3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période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d’attente de 13 semaines, vous pouvez faire une demande d</w:t>
                            </w:r>
                            <w:r w:rsidR="00CD2FC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’assurance </w:t>
                            </w:r>
                            <w:r w:rsidR="008B1ED3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emploi</w:t>
                            </w:r>
                            <w:r w:rsidR="000D58F2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="008B1ED3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(AE)</w:t>
                            </w:r>
                            <w:r w:rsidR="00AB4A1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  <w:r w:rsidR="000F3B06" w:rsidRPr="00642A30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0F3B06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Si cela s'applique à vous, reportez-vous à la </w:t>
                            </w:r>
                            <w:r w:rsidR="000E03A1" w:rsidRPr="000E03A1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fiche d’information </w:t>
                            </w:r>
                            <w:r w:rsidR="000F3B06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« Accès aux prestations d’AE en cas de maladie</w:t>
                            </w:r>
                            <w:r w:rsidR="000E03A1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 »</w:t>
                            </w:r>
                            <w:r w:rsidR="000F3B06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:rsidR="00FF5DBB" w:rsidRPr="00642A30" w:rsidRDefault="00AB4A1D" w:rsidP="00F82307">
                            <w:pPr>
                              <w:spacing w:after="120" w:line="240" w:lineRule="auto"/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Note</w:t>
                            </w:r>
                            <w:r w:rsidR="008B1ED3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 : L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a période </w:t>
                            </w:r>
                            <w:r w:rsidR="00383C60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d’attente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peut être différente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pour les employés saisonniers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V</w:t>
                            </w:r>
                            <w:r w:rsidR="008B1ED3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ous trouverez de plus amples </w:t>
                            </w:r>
                            <w:r w:rsidR="000D58F2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renseignements</w:t>
                            </w:r>
                            <w:r w:rsidR="008B1ED3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sur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les sites Web indiqués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ci-dessous.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91.35pt;margin-top:17.45pt;width:423.55pt;height:100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" filled="f" stroked="f" strokeweight="2pt">
                <v:textbox>
                  <w:txbxContent>
                    <w:p w:rsidR="00AB4A1D" w:rsidRPr="00642A30" w:rsidRDefault="00383C60" w:rsidP="00F82307">
                      <w:pPr>
                        <w:spacing w:after="120" w:line="240" w:lineRule="auto"/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Vous</w:t>
                      </w:r>
                      <w:r w:rsidR="008B1ED3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devez attendre 13 semaines ou utilisez tous les congés maladie que vous avez </w:t>
                      </w:r>
                      <w:r w:rsidR="000D58F2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accumulés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(</w:t>
                      </w:r>
                      <w:r w:rsidR="000E03A1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selon</w:t>
                      </w:r>
                      <w:r w:rsidR="000E03A1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ce qui est le plus long) avant d’être admissible </w:t>
                      </w:r>
                      <w:r w:rsidR="008B1ED3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aux prestations d</w:t>
                      </w:r>
                      <w:r w:rsidR="00CD2FC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8B1ED3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AI.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Si vous n’avez </w:t>
                      </w:r>
                      <w:r w:rsidR="000D58F2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pas accumulé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suffisamment de congé</w:t>
                      </w:r>
                      <w:r w:rsidR="00CD2FC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s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maladie pour couvrir la </w:t>
                      </w:r>
                      <w:r w:rsidR="008B1ED3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période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d’attente de 13 semaines, vous pouvez faire une demande d</w:t>
                      </w:r>
                      <w:r w:rsidR="00CD2FC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’assurance </w:t>
                      </w:r>
                      <w:r w:rsidR="008B1ED3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emploi</w:t>
                      </w:r>
                      <w:r w:rsidR="000D58F2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 </w:t>
                      </w:r>
                      <w:r w:rsidR="008B1ED3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(AE)</w:t>
                      </w:r>
                      <w:r w:rsidR="00AB4A1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.</w:t>
                      </w:r>
                      <w:r w:rsidR="000F3B06" w:rsidRPr="00642A30">
                        <w:rPr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0F3B06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Si cela s'applique à vous, reportez-vous à la </w:t>
                      </w:r>
                      <w:r w:rsidR="000E03A1" w:rsidRPr="000E03A1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fiche d’information </w:t>
                      </w:r>
                      <w:r w:rsidR="000F3B06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« Accès aux prestations d’AE en cas de maladie</w:t>
                      </w:r>
                      <w:r w:rsidR="000E03A1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 »</w:t>
                      </w:r>
                      <w:r w:rsidR="000F3B06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:rsidR="00FF5DBB" w:rsidRPr="00642A30" w:rsidRDefault="00AB4A1D" w:rsidP="00F82307">
                      <w:pPr>
                        <w:spacing w:after="120" w:line="240" w:lineRule="auto"/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Note</w:t>
                      </w:r>
                      <w:r w:rsidR="008B1ED3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 : L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a période </w:t>
                      </w:r>
                      <w:r w:rsidR="00383C60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d’attente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peut être différente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pour les employés saisonniers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.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V</w:t>
                      </w:r>
                      <w:r w:rsidR="008B1ED3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ous trouverez de plus amples </w:t>
                      </w:r>
                      <w:r w:rsidR="000D58F2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renseignements</w:t>
                      </w:r>
                      <w:r w:rsidR="008B1ED3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sur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les sites Web indiqués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ci-dessous.</w:t>
                      </w:r>
                    </w:p>
                  </w:txbxContent>
                </v:textbox>
              </v:rect>
            </w:pict>
          </mc:Fallback>
        </mc:AlternateContent>
      </w:r>
    </w:p>
    <w:p w:rsidR="00F27632" w:rsidRPr="00E053CF" w:rsidRDefault="00F27632" w:rsidP="00F27632">
      <w:pPr>
        <w:rPr>
          <w:noProof/>
          <w:lang w:val="fr-CA"/>
        </w:rPr>
      </w:pPr>
    </w:p>
    <w:p w:rsidR="00F27632" w:rsidRPr="00E053CF" w:rsidRDefault="00F27632" w:rsidP="00AE0729">
      <w:pPr>
        <w:rPr>
          <w:noProof/>
          <w:lang w:val="fr-CA"/>
        </w:rPr>
      </w:pPr>
    </w:p>
    <w:p w:rsidR="00D02B47" w:rsidRPr="00E053CF" w:rsidRDefault="00D02B47" w:rsidP="00AE0729">
      <w:pPr>
        <w:rPr>
          <w:noProof/>
          <w:lang w:val="fr-CA"/>
        </w:rPr>
      </w:pPr>
    </w:p>
    <w:p w:rsidR="00D02B47" w:rsidRPr="00E053CF" w:rsidRDefault="000F3B06" w:rsidP="00AE0729">
      <w:pPr>
        <w:rPr>
          <w:noProof/>
          <w:lang w:val="fr-CA"/>
        </w:rPr>
      </w:pPr>
      <w:r w:rsidRPr="00E053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BD9F6" wp14:editId="0DA5908E">
                <wp:simplePos x="0" y="0"/>
                <wp:positionH relativeFrom="column">
                  <wp:posOffset>1168400</wp:posOffset>
                </wp:positionH>
                <wp:positionV relativeFrom="paragraph">
                  <wp:posOffset>255905</wp:posOffset>
                </wp:positionV>
                <wp:extent cx="5422900" cy="265557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265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A1D" w:rsidRPr="00642A30" w:rsidRDefault="00AB4A1D" w:rsidP="00F82307">
                            <w:pPr>
                              <w:spacing w:after="0" w:line="240" w:lineRule="atLeast"/>
                              <w:ind w:right="28"/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Si vous devenez invalide et que vous </w:t>
                            </w:r>
                            <w:r w:rsidR="00CD2FC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pensez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que votre invalidité durera assez longtemps </w:t>
                            </w:r>
                            <w:r w:rsidR="00016105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pour </w:t>
                            </w:r>
                            <w:r w:rsidR="000D58F2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être</w:t>
                            </w:r>
                            <w:r w:rsidR="00016105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admissible aux prestations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d</w:t>
                            </w:r>
                            <w:r w:rsidR="00CD2FC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AI, vous devez </w:t>
                            </w:r>
                            <w:r w:rsidR="002306E6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en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aviser immédiatement votre</w:t>
                            </w:r>
                            <w:r w:rsidR="000D58F2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gestionnaire qui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collaborera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avec vous et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avec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l</w:t>
                            </w:r>
                            <w:r w:rsidR="00CD2FC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unité</w:t>
                            </w:r>
                            <w:r w:rsidR="002306E6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des RH d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</w:t>
                            </w:r>
                            <w:r w:rsidR="002306E6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votre </w:t>
                            </w:r>
                            <w:r w:rsidR="002306E6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m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inistère.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Pour obtenir les formulaires requis (Déclaration de l</w:t>
                            </w:r>
                            <w:r w:rsidR="00CD2FC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employeur, Déclaration de l’employé et Déclaration du médecin traitant) ainsi que les instructions à suivre pour présenter une demande, veuillez consulter les liens ci-dessous ou communique</w:t>
                            </w:r>
                            <w:r w:rsidR="000D58F2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r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avec l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e </w:t>
                            </w:r>
                            <w:r w:rsidR="00016105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Centre des services de paye de la fonction publique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:rsidR="00545FA9" w:rsidRPr="00642A30" w:rsidRDefault="001F40FC" w:rsidP="000D5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ind w:left="567" w:hanging="283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hyperlink r:id="rId9" w:history="1">
                              <w:r w:rsidR="00F82307" w:rsidRPr="00642A30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CA"/>
                                </w:rPr>
                                <w:t>https://www.canada.ca/fr/secretariat-conseil-tresor/sujets/regimes-assurance/regime-assurance-invalidite.html</w:t>
                              </w:r>
                            </w:hyperlink>
                          </w:p>
                          <w:p w:rsidR="00545FA9" w:rsidRPr="00642A30" w:rsidRDefault="001F40FC" w:rsidP="000D5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ind w:left="567" w:hanging="283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hyperlink r:id="rId10" w:history="1">
                              <w:r w:rsidR="00F82307" w:rsidRPr="00642A30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CA"/>
                                </w:rPr>
                                <w:t>https://www.canada.ca/fr/secretariat-conseil-tresor/sujets/regimes-assurance/regime-assurance-gestion.html</w:t>
                              </w:r>
                            </w:hyperlink>
                            <w:r w:rsidR="00545FA9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1F40FC" w:rsidRDefault="00545FA9" w:rsidP="00F82307">
                            <w:pPr>
                              <w:spacing w:after="0" w:line="240" w:lineRule="atLeast"/>
                              <w:ind w:right="28"/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Votre gestionnaire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contact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era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le service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de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RH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de votre ministère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afin de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déterminer la </w:t>
                            </w:r>
                            <w:r w:rsidRPr="00642A30">
                              <w:rPr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meilleure approche 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qu’il convient de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recommand</w:t>
                            </w:r>
                            <w:r w:rsidR="00935AE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er</w:t>
                            </w:r>
                            <w:r w:rsidR="004F48B4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4F48B4" w:rsidRPr="00642A30">
                              <w:rPr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dans votre cas</w:t>
                            </w:r>
                            <w:r w:rsidR="004F48B4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E54DFF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à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l’administrateur </w:t>
                            </w:r>
                            <w:r w:rsidR="004F48B4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général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, en considérant l’option suivante</w:t>
                            </w:r>
                            <w:r w:rsidR="00E54DFF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 : </w:t>
                            </w:r>
                          </w:p>
                          <w:p w:rsidR="00B45FB3" w:rsidRPr="00764EF9" w:rsidRDefault="004F48B4" w:rsidP="00764EF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ind w:left="567" w:hanging="283"/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d</w:t>
                            </w:r>
                            <w:r w:rsidR="00E54DFF"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emander une avance de congé de maladie </w:t>
                            </w:r>
                            <w:r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pouvant aller jusqu’à </w:t>
                            </w:r>
                            <w:r w:rsidR="00E54DFF"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25 jours, conformément </w:t>
                            </w:r>
                            <w:r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à votre </w:t>
                            </w:r>
                            <w:r w:rsidR="00E54DFF"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convention collective</w:t>
                            </w:r>
                            <w:r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. Toutefois, cette avance </w:t>
                            </w:r>
                            <w:r w:rsidR="00E54DFF"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pourrait avoir une incidence sur votre période d</w:t>
                            </w:r>
                            <w:r w:rsidR="00CD2FCD"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’</w:t>
                            </w:r>
                            <w:r w:rsidR="00E54DFF"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attente et </w:t>
                            </w:r>
                            <w:r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ferait en sorte </w:t>
                            </w:r>
                            <w:r w:rsidR="00E54DFF" w:rsidRPr="00764EF9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que votre solde de congés de maladie serait négatif à votre retour au travail.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92pt;margin-top:20.15pt;width:427pt;height:20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" filled="f" stroked="f" strokeweight="2pt">
                <v:textbox>
                  <w:txbxContent>
                    <w:p w:rsidR="00AB4A1D" w:rsidRPr="00642A30" w:rsidRDefault="00AB4A1D" w:rsidP="00F82307">
                      <w:pPr>
                        <w:spacing w:after="0" w:line="240" w:lineRule="atLeast"/>
                        <w:ind w:right="28"/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Si vous devenez invalide et que vous </w:t>
                      </w:r>
                      <w:r w:rsidR="00CD2FC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pensez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que votre invalidité durera assez longtemps </w:t>
                      </w:r>
                      <w:r w:rsidR="00016105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pour </w:t>
                      </w:r>
                      <w:r w:rsidR="000D58F2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être</w:t>
                      </w:r>
                      <w:r w:rsidR="00016105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admissible aux prestations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d</w:t>
                      </w:r>
                      <w:r w:rsidR="00CD2FC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AI, vous devez </w:t>
                      </w:r>
                      <w:r w:rsidR="002306E6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en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aviser immédiatement votre</w:t>
                      </w:r>
                      <w:r w:rsidR="000D58F2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gestionnaire qui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collaborera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avec vous et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avec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l</w:t>
                      </w:r>
                      <w:r w:rsidR="00CD2FC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unité</w:t>
                      </w:r>
                      <w:r w:rsidR="002306E6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des RH d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</w:t>
                      </w:r>
                      <w:r w:rsidR="002306E6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votre </w:t>
                      </w:r>
                      <w:r w:rsidR="002306E6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m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inistère.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Pour obtenir les formulaires requis (Déclaration de l</w:t>
                      </w:r>
                      <w:r w:rsidR="00CD2FC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employeur, Déclaration de l’employé et Déclaration du médecin traitant) ainsi que les instructions à suivre pour présenter une demande, veuillez consulter les liens ci-dessous ou communique</w:t>
                      </w:r>
                      <w:r w:rsidR="000D58F2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r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avec l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e </w:t>
                      </w:r>
                      <w:r w:rsidR="00016105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Centre des services de paye de la fonction publique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:rsidR="00545FA9" w:rsidRPr="00642A30" w:rsidRDefault="001F40FC" w:rsidP="000D5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/>
                        <w:ind w:left="567" w:hanging="283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hyperlink r:id="rId11" w:history="1">
                        <w:r w:rsidR="00F82307" w:rsidRPr="00642A30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https://www.canada.ca/fr/secretariat-conseil-tresor/sujets/regimes-assurance/regime-assurance-invalidite.html</w:t>
                        </w:r>
                      </w:hyperlink>
                    </w:p>
                    <w:p w:rsidR="00545FA9" w:rsidRPr="00642A30" w:rsidRDefault="001F40FC" w:rsidP="000D5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/>
                        <w:ind w:left="567" w:hanging="283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hyperlink r:id="rId12" w:history="1">
                        <w:r w:rsidR="00F82307" w:rsidRPr="00642A30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https://www.canada.ca/fr/secretariat-conseil-tresor/sujets/regimes-assurance/regime-assurance-gestion.html</w:t>
                        </w:r>
                      </w:hyperlink>
                      <w:r w:rsidR="00545FA9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:rsidR="001F40FC" w:rsidRDefault="00545FA9" w:rsidP="00F82307">
                      <w:pPr>
                        <w:spacing w:after="0" w:line="240" w:lineRule="atLeast"/>
                        <w:ind w:right="28"/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Votre gestionnaire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contact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era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le service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de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s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RH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de votre ministère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afin de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déterminer la </w:t>
                      </w:r>
                      <w:r w:rsidRPr="00642A30">
                        <w:rPr>
                          <w:b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meilleure approche 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qu’il convient de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recommand</w:t>
                      </w:r>
                      <w:r w:rsidR="00935AE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er</w:t>
                      </w:r>
                      <w:r w:rsidR="004F48B4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4F48B4" w:rsidRPr="00642A30">
                        <w:rPr>
                          <w:b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dans votre cas</w:t>
                      </w:r>
                      <w:r w:rsidR="004F48B4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E54DFF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à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l’administrateur </w:t>
                      </w:r>
                      <w:r w:rsidR="004F48B4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général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, en considérant l’option suivante</w:t>
                      </w:r>
                      <w:r w:rsidR="00E54DFF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 : </w:t>
                      </w:r>
                    </w:p>
                    <w:p w:rsidR="00B45FB3" w:rsidRPr="00764EF9" w:rsidRDefault="004F48B4" w:rsidP="00764EF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/>
                        <w:ind w:left="567" w:hanging="283"/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d</w:t>
                      </w:r>
                      <w:r w:rsidR="00E54DFF"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emander une avance de congé de maladie </w:t>
                      </w:r>
                      <w:r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pouvant aller jusqu’à </w:t>
                      </w:r>
                      <w:r w:rsidR="00E54DFF"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25 jours, conformément </w:t>
                      </w:r>
                      <w:r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à votre </w:t>
                      </w:r>
                      <w:r w:rsidR="00E54DFF"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convention collective</w:t>
                      </w:r>
                      <w:r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. Toutefois, cette avance </w:t>
                      </w:r>
                      <w:r w:rsidR="00E54DFF"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pourrait avoir une incidence sur votre période d</w:t>
                      </w:r>
                      <w:r w:rsidR="00CD2FCD"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’</w:t>
                      </w:r>
                      <w:r w:rsidR="00E54DFF"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attente et </w:t>
                      </w:r>
                      <w:r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ferait en sorte </w:t>
                      </w:r>
                      <w:r w:rsidR="00E54DFF" w:rsidRPr="00764EF9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que votre solde de congés de maladie serait négatif à votre retour au travail.</w:t>
                      </w:r>
                    </w:p>
                  </w:txbxContent>
                </v:textbox>
              </v:rect>
            </w:pict>
          </mc:Fallback>
        </mc:AlternateContent>
      </w:r>
      <w:r w:rsidRPr="00E053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5EDDC" wp14:editId="19A2D93B">
                <wp:simplePos x="0" y="0"/>
                <wp:positionH relativeFrom="column">
                  <wp:posOffset>-546100</wp:posOffset>
                </wp:positionH>
                <wp:positionV relativeFrom="paragraph">
                  <wp:posOffset>255905</wp:posOffset>
                </wp:positionV>
                <wp:extent cx="1699260" cy="2651760"/>
                <wp:effectExtent l="0" t="0" r="15240" b="15240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2651760"/>
                        </a:xfrm>
                        <a:prstGeom prst="homePlate">
                          <a:avLst>
                            <a:gd name="adj" fmla="val 29361"/>
                          </a:avLst>
                        </a:prstGeom>
                        <a:solidFill>
                          <a:srgbClr val="3095B4"/>
                        </a:solidFill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F47" w:rsidRPr="008B1ED3" w:rsidRDefault="00383C60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Prépar</w:t>
                            </w:r>
                            <w:r w:rsidR="00545FA9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z</w:t>
                            </w:r>
                            <w:r w:rsidR="00AB4A1D" w:rsidRPr="008B1ED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 xml:space="preserve">votre </w:t>
                            </w:r>
                            <w:r w:rsidR="00AB4A1D" w:rsidRPr="008B1ED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demande d’AI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8" o:spid="_x0000_s1032" type="#_x0000_t15" style="position:absolute;margin-left:-43pt;margin-top:20.15pt;width:133.8pt;height:20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" adj="15258" fillcolor="#3095b4" strokecolor="#005172" strokeweight="1.5pt">
                <v:textbox>
                  <w:txbxContent>
                    <w:p w:rsidR="00E35F47" w:rsidRPr="008B1ED3" w:rsidRDefault="00383C60" w:rsidP="00E35F47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>Prépar</w:t>
                      </w:r>
                      <w:r w:rsidR="00545FA9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>e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>z</w:t>
                      </w:r>
                      <w:r w:rsidR="00AB4A1D" w:rsidRPr="008B1ED3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 xml:space="preserve">votre </w:t>
                      </w:r>
                      <w:r w:rsidR="00AB4A1D" w:rsidRPr="008B1ED3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>demande d’AI</w:t>
                      </w:r>
                    </w:p>
                  </w:txbxContent>
                </v:textbox>
              </v:shape>
            </w:pict>
          </mc:Fallback>
        </mc:AlternateContent>
      </w:r>
      <w:r w:rsidRPr="00E053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46AC7" wp14:editId="68310C90">
                <wp:simplePos x="0" y="0"/>
                <wp:positionH relativeFrom="column">
                  <wp:posOffset>-532765</wp:posOffset>
                </wp:positionH>
                <wp:positionV relativeFrom="paragraph">
                  <wp:posOffset>258445</wp:posOffset>
                </wp:positionV>
                <wp:extent cx="7106920" cy="2651760"/>
                <wp:effectExtent l="0" t="0" r="1778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2651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1.95pt;margin-top:20.35pt;width:559.6pt;height:2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" filled="f" strokecolor="#005172" strokeweight="1.5pt"/>
            </w:pict>
          </mc:Fallback>
        </mc:AlternateContent>
      </w:r>
    </w:p>
    <w:p w:rsidR="00D02B47" w:rsidRPr="00E053CF" w:rsidRDefault="00D02B47" w:rsidP="00D02B47">
      <w:pPr>
        <w:jc w:val="right"/>
        <w:rPr>
          <w:noProof/>
          <w:lang w:val="fr-CA"/>
        </w:rPr>
      </w:pPr>
    </w:p>
    <w:p w:rsidR="00E35F47" w:rsidRPr="00E053CF" w:rsidRDefault="00E35F47" w:rsidP="00E35F47">
      <w:pPr>
        <w:rPr>
          <w:noProof/>
          <w:vanish/>
          <w:lang w:val="fr-CA"/>
          <w:specVanish/>
        </w:rPr>
      </w:pPr>
    </w:p>
    <w:p w:rsidR="00E35F47" w:rsidRPr="00E053CF" w:rsidRDefault="00E35F47" w:rsidP="00E35F47">
      <w:pPr>
        <w:rPr>
          <w:noProof/>
          <w:lang w:val="fr-CA"/>
        </w:rPr>
      </w:pPr>
      <w:r w:rsidRPr="00E053CF">
        <w:rPr>
          <w:noProof/>
          <w:lang w:val="fr-CA"/>
        </w:rPr>
        <w:t xml:space="preserve"> </w:t>
      </w:r>
    </w:p>
    <w:p w:rsidR="001567BF" w:rsidRPr="00E053CF" w:rsidRDefault="00642A30" w:rsidP="0030011C">
      <w:pPr>
        <w:rPr>
          <w:noProof/>
          <w:lang w:val="fr-CA"/>
        </w:rPr>
      </w:pPr>
      <w:r w:rsidRPr="00E053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DC2E9" wp14:editId="6D9B3E08">
                <wp:simplePos x="0" y="0"/>
                <wp:positionH relativeFrom="column">
                  <wp:posOffset>-533400</wp:posOffset>
                </wp:positionH>
                <wp:positionV relativeFrom="paragraph">
                  <wp:posOffset>2049145</wp:posOffset>
                </wp:positionV>
                <wp:extent cx="1699260" cy="3067050"/>
                <wp:effectExtent l="0" t="0" r="15240" b="19050"/>
                <wp:wrapNone/>
                <wp:docPr id="31" name="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067050"/>
                        </a:xfrm>
                        <a:prstGeom prst="homePlate">
                          <a:avLst>
                            <a:gd name="adj" fmla="val 29361"/>
                          </a:avLst>
                        </a:prstGeom>
                        <a:solidFill>
                          <a:srgbClr val="CCDC00"/>
                        </a:solidFill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F05" w:rsidRPr="00AB4A1D" w:rsidRDefault="00AB4A1D" w:rsidP="006C3F0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Vous attendez une décision concernant une demande d’AI</w:t>
                            </w:r>
                            <w:r w:rsidR="006C3F05" w:rsidRPr="00AB4A1D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1" o:spid="_x0000_s1033" type="#_x0000_t15" style="position:absolute;margin-left:-42pt;margin-top:161.35pt;width:133.8pt;height:24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" adj="15258" fillcolor="#ccdc00" strokecolor="#005172" strokeweight="1.5pt">
                <v:textbox>
                  <w:txbxContent>
                    <w:p w:rsidR="006C3F05" w:rsidRPr="00AB4A1D" w:rsidRDefault="00AB4A1D" w:rsidP="006C3F05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  <w:t>Vous attendez une décision concernant une demande d’AI</w:t>
                      </w:r>
                      <w:r w:rsidR="006C3F05" w:rsidRPr="00AB4A1D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fr-C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E053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62C12" wp14:editId="45658861">
                <wp:simplePos x="0" y="0"/>
                <wp:positionH relativeFrom="column">
                  <wp:posOffset>-533400</wp:posOffset>
                </wp:positionH>
                <wp:positionV relativeFrom="paragraph">
                  <wp:posOffset>2049145</wp:posOffset>
                </wp:positionV>
                <wp:extent cx="7106920" cy="3067050"/>
                <wp:effectExtent l="0" t="0" r="1778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42pt;margin-top:161.35pt;width:559.6pt;height:2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" filled="f" strokecolor="#005172" strokeweight="1.5pt"/>
            </w:pict>
          </mc:Fallback>
        </mc:AlternateContent>
      </w:r>
      <w:r w:rsidRPr="00E053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6D150" wp14:editId="43E8DEF3">
                <wp:simplePos x="0" y="0"/>
                <wp:positionH relativeFrom="column">
                  <wp:posOffset>1168400</wp:posOffset>
                </wp:positionH>
                <wp:positionV relativeFrom="paragraph">
                  <wp:posOffset>2049145</wp:posOffset>
                </wp:positionV>
                <wp:extent cx="5408295" cy="3200400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F05" w:rsidRPr="00642A30" w:rsidRDefault="00E54DFF" w:rsidP="006C3F05">
                            <w:pPr>
                              <w:spacing w:after="120" w:line="240" w:lineRule="auto"/>
                              <w:ind w:right="480"/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Des arrangements spéciaux ont été mis en place avec les assureurs Sun Life et Alliance Industriel </w:t>
                            </w:r>
                            <w:r w:rsidR="004F48B4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afin que votre cas soit traité rapidement. Communiquez immédiatement avec votre gestionnaire, s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i vous attendez une décision </w:t>
                            </w:r>
                            <w:r w:rsidR="004F48B4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concernant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4F48B4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l’assurance invalidité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et </w:t>
                            </w:r>
                            <w:r w:rsidR="004F48B4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si </w:t>
                            </w:r>
                            <w:r w:rsidR="000D58F2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vous êtes dans la situation suivante</w:t>
                            </w:r>
                            <w:r w:rsidR="004F48B4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="00AB4A1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:</w:t>
                            </w:r>
                          </w:p>
                          <w:p w:rsidR="00AB4A1D" w:rsidRPr="00642A30" w:rsidRDefault="00AB4A1D" w:rsidP="003235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567" w:right="480" w:hanging="283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vous éprouvez des difficultés financières;</w:t>
                            </w:r>
                          </w:p>
                          <w:p w:rsidR="00AB4A1D" w:rsidRPr="00642A30" w:rsidRDefault="00016105" w:rsidP="003235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567" w:right="480" w:hanging="283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votre D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éclaration d</w:t>
                            </w:r>
                            <w:r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 l</w:t>
                            </w:r>
                            <w:r w:rsidR="00CD2FC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employeur 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est </w:t>
                            </w:r>
                            <w:r w:rsidR="001921B1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en 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retard;</w:t>
                            </w:r>
                          </w:p>
                          <w:p w:rsidR="00AB4A1D" w:rsidRPr="00642A30" w:rsidRDefault="00016105" w:rsidP="003235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567" w:right="480" w:hanging="283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v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ous </w:t>
                            </w:r>
                            <w:r w:rsidR="001921B1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avez terminé la période d’attente de 13 semaines 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ou </w:t>
                            </w:r>
                            <w:r w:rsidR="001921B1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vous avez 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é</w:t>
                            </w:r>
                            <w:r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puis</w:t>
                            </w:r>
                            <w:r w:rsidR="001921B1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é tous les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congés de maladie</w:t>
                            </w:r>
                            <w:r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1921B1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que vous aviez </w:t>
                            </w:r>
                            <w:r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accumulés</w:t>
                            </w:r>
                            <w:r w:rsidR="000D58F2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(suivant ce qui est le plus long)</w:t>
                            </w:r>
                            <w:r w:rsidR="002306E6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; </w:t>
                            </w:r>
                          </w:p>
                          <w:p w:rsidR="002060BE" w:rsidRPr="00642A30" w:rsidRDefault="00016105" w:rsidP="003235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567" w:right="480" w:hanging="283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v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ous ne recevez pas </w:t>
                            </w:r>
                            <w:r w:rsidR="001921B1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encore 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de prestations d</w:t>
                            </w:r>
                            <w:r w:rsidR="00CD2FC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assurance</w:t>
                            </w:r>
                            <w:r w:rsidR="00CD2FC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AB4A1D" w:rsidRPr="00642A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emploi.</w:t>
                            </w:r>
                          </w:p>
                          <w:p w:rsidR="00AB4A1D" w:rsidRPr="00642A30" w:rsidRDefault="00016105" w:rsidP="00AB4A1D">
                            <w:pPr>
                              <w:tabs>
                                <w:tab w:val="num" w:pos="851"/>
                              </w:tabs>
                              <w:spacing w:after="120"/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Votre gestionnaire communiquera </w:t>
                            </w:r>
                            <w:r w:rsidR="001921B1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alors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avec</w:t>
                            </w:r>
                            <w:r w:rsidR="00AB4A1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2306E6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l’</w:t>
                            </w:r>
                            <w:r w:rsidR="00AB4A1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unité</w:t>
                            </w:r>
                            <w:r w:rsidR="002306E6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des RH de votre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m</w:t>
                            </w:r>
                            <w:r w:rsidR="00AB4A1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inistère pour déterminer la meilleure approche </w:t>
                            </w:r>
                            <w:r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à recommander à votre administrateur général</w:t>
                            </w:r>
                            <w:r w:rsidR="00E54DFF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, en tenant compte de l’option suivante</w:t>
                            </w:r>
                            <w:r w:rsidR="00AB4A1D" w:rsidRPr="00642A30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 :</w:t>
                            </w:r>
                          </w:p>
                          <w:p w:rsidR="0007504A" w:rsidRPr="00642A30" w:rsidRDefault="00642A30" w:rsidP="003E11B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after="12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un paiement prioritaire</w:t>
                            </w:r>
                            <w:r w:rsidR="0007504A" w:rsidRP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peut être payé, pourvu que vous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rencontriez</w:t>
                            </w:r>
                            <w:r w:rsidR="0007504A" w:rsidRP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les critè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res d'admissibilité de base (soit l</w:t>
                            </w:r>
                            <w:r w:rsidR="0007504A" w:rsidRP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 statut et la durée de l'emploi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et</w:t>
                            </w:r>
                            <w:r w:rsidR="0007504A" w:rsidRP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le service et les conditions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liées à la</w:t>
                            </w:r>
                            <w:r w:rsidR="0007504A" w:rsidRP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période d'attente) et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que vous </w:t>
                            </w:r>
                            <w:r w:rsidR="0007504A" w:rsidRP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avez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fait une </w:t>
                            </w:r>
                            <w:r w:rsidR="0007504A" w:rsidRP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demand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e</w:t>
                            </w:r>
                            <w:r w:rsidR="0007504A" w:rsidRP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pour l’a</w:t>
                            </w:r>
                            <w:r w:rsidR="0007504A" w:rsidRP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ssurance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 xml:space="preserve"> d’invalidité. </w:t>
                            </w:r>
                            <w:r w:rsidR="003E11B1" w:rsidRPr="003E11B1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La Directive sur les conditions d'emploi a été modifiée afin de pouvoir offrir une paye de remplacement calculée en fonction du montant net approximatif de la paye (c.-à-d. 66 % du montant brut de la paye) en situation d’urgence</w:t>
                            </w:r>
                            <w:r w:rsidR="0007504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8"/>
                                <w:szCs w:val="18"/>
                                <w:lang w:val="fr-CA"/>
                              </w:rPr>
                              <w:t>, ou</w:t>
                            </w:r>
                          </w:p>
                          <w:p w:rsidR="00AB4A1D" w:rsidRPr="00642A30" w:rsidRDefault="000D58F2" w:rsidP="00642A3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51"/>
                              </w:tabs>
                              <w:spacing w:after="120" w:line="240" w:lineRule="atLeast"/>
                              <w:ind w:right="28"/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</w:pPr>
                            <w:r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demander à 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l</w:t>
                            </w:r>
                            <w:r w:rsidR="00CD2FCD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’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assureur</w:t>
                            </w:r>
                            <w:r w:rsidR="001921B1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 </w:t>
                            </w:r>
                            <w:r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de </w:t>
                            </w:r>
                            <w:r w:rsidR="001921B1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vous verser des prestations pendant </w:t>
                            </w:r>
                            <w:r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une période pouvant aller jusqu’à 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six</w:t>
                            </w:r>
                            <w:r w:rsidR="00AB4A1D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 mois </w:t>
                            </w:r>
                            <w:r w:rsidR="001921B1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maximum 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en attend</w:t>
                            </w:r>
                            <w:r w:rsidR="00AB4A1D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ant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 qu</w:t>
                            </w:r>
                            <w:r w:rsidR="00CD2FCD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’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une décision </w:t>
                            </w:r>
                            <w:r w:rsidR="001921B1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ait été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 prise</w:t>
                            </w:r>
                            <w:r w:rsidR="001921B1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 concernant votre demande</w:t>
                            </w:r>
                            <w:r w:rsidR="003235EE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. Attention : cette option n’est possible que si l’assureur </w:t>
                            </w:r>
                            <w:r w:rsidR="001921B1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a reçu </w:t>
                            </w:r>
                            <w:r w:rsidR="00AB4A1D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votre </w:t>
                            </w:r>
                            <w:r w:rsidR="001921B1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D</w:t>
                            </w:r>
                            <w:r w:rsidR="00AB4A1D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éclaration d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e l</w:t>
                            </w:r>
                            <w:r w:rsidR="00CD2FCD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’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employé et votre </w:t>
                            </w:r>
                            <w:r w:rsidR="001921B1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D</w:t>
                            </w:r>
                            <w:r w:rsidR="00D54CE4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>éclaration du</w:t>
                            </w:r>
                            <w:r w:rsidR="001921B1" w:rsidRPr="00642A30">
                              <w:rPr>
                                <w:rFonts w:asciiTheme="minorHAnsi" w:eastAsiaTheme="minorHAnsi" w:hAnsiTheme="minorHAnsi" w:cstheme="minorBidi"/>
                                <w:color w:val="215868" w:themeColor="accent5" w:themeShade="80"/>
                                <w:sz w:val="18"/>
                                <w:szCs w:val="18"/>
                                <w:lang w:val="fr-CA" w:eastAsia="en-US"/>
                              </w:rPr>
                              <w:t xml:space="preserve"> médecin traitant.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34" style="position:absolute;margin-left:92pt;margin-top:161.35pt;width:425.85pt;height:25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" filled="f" stroked="f" strokeweight="2pt">
                <v:textbox>
                  <w:txbxContent>
                    <w:p w:rsidR="006C3F05" w:rsidRPr="00642A30" w:rsidRDefault="00E54DFF" w:rsidP="006C3F05">
                      <w:pPr>
                        <w:spacing w:after="120" w:line="240" w:lineRule="auto"/>
                        <w:ind w:right="480"/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Des arrangements spéciaux ont été mis en place avec les assureurs Sun Life et Alliance Industriel </w:t>
                      </w:r>
                      <w:r w:rsidR="004F48B4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afin que votre cas soit traité rapidement. Communiquez immédiatement avec votre gestionnaire, s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i vous attendez une décision </w:t>
                      </w:r>
                      <w:r w:rsidR="004F48B4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concernant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4F48B4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l’assurance invalidité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et </w:t>
                      </w:r>
                      <w:r w:rsidR="004F48B4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si </w:t>
                      </w:r>
                      <w:r w:rsidR="000D58F2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vous êtes dans la situation suivante</w:t>
                      </w:r>
                      <w:r w:rsidR="004F48B4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 </w:t>
                      </w:r>
                      <w:r w:rsidR="00AB4A1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:</w:t>
                      </w:r>
                    </w:p>
                    <w:p w:rsidR="00AB4A1D" w:rsidRPr="00642A30" w:rsidRDefault="00AB4A1D" w:rsidP="003235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ind w:left="567" w:right="480" w:hanging="283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vous éprouvez des difficultés financières;</w:t>
                      </w:r>
                    </w:p>
                    <w:p w:rsidR="00AB4A1D" w:rsidRPr="00642A30" w:rsidRDefault="00016105" w:rsidP="003235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ind w:left="567" w:right="480" w:hanging="283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votre D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éclaration d</w:t>
                      </w:r>
                      <w:r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 l</w:t>
                      </w:r>
                      <w:r w:rsidR="00CD2FC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employeur 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est </w:t>
                      </w:r>
                      <w:r w:rsidR="001921B1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en 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retard;</w:t>
                      </w:r>
                    </w:p>
                    <w:p w:rsidR="00AB4A1D" w:rsidRPr="00642A30" w:rsidRDefault="00016105" w:rsidP="003235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ind w:left="567" w:right="480" w:hanging="283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v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ous </w:t>
                      </w:r>
                      <w:r w:rsidR="001921B1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avez terminé la période d’attente de 13 semaines 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ou </w:t>
                      </w:r>
                      <w:r w:rsidR="001921B1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vous avez 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é</w:t>
                      </w:r>
                      <w:r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puis</w:t>
                      </w:r>
                      <w:bookmarkStart w:id="50" w:name="_GoBack"/>
                      <w:bookmarkEnd w:id="50"/>
                      <w:r w:rsidR="001921B1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é tous les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congés de maladie</w:t>
                      </w:r>
                      <w:r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1921B1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que vous aviez </w:t>
                      </w:r>
                      <w:r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accumulés</w:t>
                      </w:r>
                      <w:r w:rsidR="000D58F2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(suivant ce qui est le plus long)</w:t>
                      </w:r>
                      <w:r w:rsidR="002306E6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; </w:t>
                      </w:r>
                    </w:p>
                    <w:p w:rsidR="002060BE" w:rsidRPr="00642A30" w:rsidRDefault="00016105" w:rsidP="003235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ind w:left="567" w:right="480" w:hanging="283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v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ous ne recevez pas </w:t>
                      </w:r>
                      <w:r w:rsidR="001921B1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encore 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de prestations d</w:t>
                      </w:r>
                      <w:r w:rsidR="00CD2FC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assurance</w:t>
                      </w:r>
                      <w:r w:rsidR="00CD2FC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AB4A1D" w:rsidRPr="00642A30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emploi.</w:t>
                      </w:r>
                    </w:p>
                    <w:p w:rsidR="00AB4A1D" w:rsidRPr="00642A30" w:rsidRDefault="00016105" w:rsidP="00AB4A1D">
                      <w:pPr>
                        <w:tabs>
                          <w:tab w:val="num" w:pos="851"/>
                        </w:tabs>
                        <w:spacing w:after="120"/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Votre gestionnaire communiquera </w:t>
                      </w:r>
                      <w:r w:rsidR="001921B1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alors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avec</w:t>
                      </w:r>
                      <w:r w:rsidR="00AB4A1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2306E6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l’</w:t>
                      </w:r>
                      <w:r w:rsidR="00AB4A1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unité</w:t>
                      </w:r>
                      <w:r w:rsidR="002306E6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des RH de votre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m</w:t>
                      </w:r>
                      <w:r w:rsidR="00AB4A1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inistère pour déterminer la meilleure approche </w:t>
                      </w:r>
                      <w:r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à recommander à votre administrateur général</w:t>
                      </w:r>
                      <w:r w:rsidR="00E54DFF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, en tenant compte de l’option suivante</w:t>
                      </w:r>
                      <w:r w:rsidR="00AB4A1D" w:rsidRPr="00642A30">
                        <w:rPr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 :</w:t>
                      </w:r>
                    </w:p>
                    <w:p w:rsidR="0007504A" w:rsidRPr="00642A30" w:rsidRDefault="00642A30" w:rsidP="003E11B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709"/>
                          <w:tab w:val="left" w:pos="851"/>
                        </w:tabs>
                        <w:spacing w:after="120"/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un paiement prioritaire</w:t>
                      </w:r>
                      <w:r w:rsidR="0007504A" w:rsidRP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peut être payé, pourvu que vous 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rencontriez</w:t>
                      </w:r>
                      <w:r w:rsidR="0007504A" w:rsidRP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les critè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res d'admissibilité de base (soit l</w:t>
                      </w:r>
                      <w:r w:rsidR="0007504A" w:rsidRP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 statut et la durée de l'emploi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et</w:t>
                      </w:r>
                      <w:r w:rsidR="0007504A" w:rsidRP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le service et les conditions 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liées à la</w:t>
                      </w:r>
                      <w:r w:rsidR="0007504A" w:rsidRP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période d'attente) et 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que vous </w:t>
                      </w:r>
                      <w:r w:rsidR="0007504A" w:rsidRP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avez 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fait une </w:t>
                      </w:r>
                      <w:r w:rsidR="0007504A" w:rsidRP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demand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e</w:t>
                      </w:r>
                      <w:r w:rsidR="0007504A" w:rsidRP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pour l’a</w:t>
                      </w:r>
                      <w:r w:rsidR="0007504A" w:rsidRP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ssurance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 xml:space="preserve"> d’invalidité. </w:t>
                      </w:r>
                      <w:r w:rsidR="003E11B1" w:rsidRPr="003E11B1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La Directive sur les conditions d'emploi a été modifiée afin de pouvoir offrir une paye de remplacement calculée en fonction du montant net approximatif de la paye (c.-à-d. 66 % du montant brut de la paye) en situation d’urgence</w:t>
                      </w:r>
                      <w:r w:rsidR="0007504A">
                        <w:rPr>
                          <w:rFonts w:asciiTheme="minorHAnsi" w:hAnsiTheme="minorHAnsi"/>
                          <w:color w:val="215868" w:themeColor="accent5" w:themeShade="80"/>
                          <w:sz w:val="18"/>
                          <w:szCs w:val="18"/>
                          <w:lang w:val="fr-CA"/>
                        </w:rPr>
                        <w:t>, ou</w:t>
                      </w:r>
                    </w:p>
                    <w:p w:rsidR="00AB4A1D" w:rsidRPr="00642A30" w:rsidRDefault="000D58F2" w:rsidP="00642A3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851"/>
                        </w:tabs>
                        <w:spacing w:after="120" w:line="240" w:lineRule="atLeast"/>
                        <w:ind w:right="28"/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</w:pPr>
                      <w:r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demander à 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l</w:t>
                      </w:r>
                      <w:r w:rsidR="00CD2FCD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’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assureur</w:t>
                      </w:r>
                      <w:r w:rsidR="001921B1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 </w:t>
                      </w:r>
                      <w:r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de </w:t>
                      </w:r>
                      <w:r w:rsidR="001921B1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vous verser des prestations pendant </w:t>
                      </w:r>
                      <w:r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une période pouvant aller jusqu’à 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six</w:t>
                      </w:r>
                      <w:r w:rsidR="00AB4A1D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 mois </w:t>
                      </w:r>
                      <w:r w:rsidR="001921B1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maximum 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en attend</w:t>
                      </w:r>
                      <w:r w:rsidR="00AB4A1D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ant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 qu</w:t>
                      </w:r>
                      <w:r w:rsidR="00CD2FCD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’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une décision </w:t>
                      </w:r>
                      <w:r w:rsidR="001921B1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ait été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 prise</w:t>
                      </w:r>
                      <w:r w:rsidR="001921B1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 concernant votre demande</w:t>
                      </w:r>
                      <w:r w:rsidR="003235EE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. Attention : cette option n’est possible que si l’assureur </w:t>
                      </w:r>
                      <w:r w:rsidR="001921B1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a reçu </w:t>
                      </w:r>
                      <w:r w:rsidR="00AB4A1D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votre </w:t>
                      </w:r>
                      <w:r w:rsidR="001921B1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D</w:t>
                      </w:r>
                      <w:r w:rsidR="00AB4A1D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éclaration d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e l</w:t>
                      </w:r>
                      <w:r w:rsidR="00CD2FCD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’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employé et votre </w:t>
                      </w:r>
                      <w:r w:rsidR="001921B1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D</w:t>
                      </w:r>
                      <w:r w:rsidR="00D54CE4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>éclaration du</w:t>
                      </w:r>
                      <w:r w:rsidR="001921B1" w:rsidRPr="00642A30">
                        <w:rPr>
                          <w:rFonts w:asciiTheme="minorHAnsi" w:eastAsiaTheme="minorHAnsi" w:hAnsiTheme="minorHAnsi" w:cstheme="minorBidi"/>
                          <w:color w:val="215868" w:themeColor="accent5" w:themeShade="80"/>
                          <w:sz w:val="18"/>
                          <w:szCs w:val="18"/>
                          <w:lang w:val="fr-CA" w:eastAsia="en-US"/>
                        </w:rPr>
                        <w:t xml:space="preserve"> médecin traitant.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567BF" w:rsidRPr="00E053CF" w:rsidSect="006C3F05"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B" w:rsidRDefault="00C4534B" w:rsidP="00405FDA">
      <w:pPr>
        <w:spacing w:after="0" w:line="240" w:lineRule="auto"/>
      </w:pPr>
      <w:r>
        <w:separator/>
      </w:r>
    </w:p>
  </w:endnote>
  <w:endnote w:type="continuationSeparator" w:id="0">
    <w:p w:rsidR="00C4534B" w:rsidRDefault="00C4534B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A7" w:rsidRPr="003C79A7" w:rsidRDefault="003C79A7" w:rsidP="00B63C1B">
    <w:pPr>
      <w:pStyle w:val="Footer"/>
      <w:tabs>
        <w:tab w:val="clear" w:pos="9360"/>
        <w:tab w:val="right" w:pos="10348"/>
      </w:tabs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1312" behindDoc="1" locked="0" layoutInCell="1" allowOverlap="1" wp14:anchorId="5FF0E4CE" wp14:editId="37868B54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B" w:rsidRDefault="00C4534B" w:rsidP="00405FDA">
      <w:pPr>
        <w:spacing w:after="0" w:line="240" w:lineRule="auto"/>
      </w:pPr>
      <w:r>
        <w:separator/>
      </w:r>
    </w:p>
  </w:footnote>
  <w:footnote w:type="continuationSeparator" w:id="0">
    <w:p w:rsidR="00C4534B" w:rsidRDefault="00C4534B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A7" w:rsidRDefault="00B63C1B" w:rsidP="003C79A7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aliashPOLUnclassified2HeaderFirstPage"/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06EED8F" wp14:editId="1A9C6895">
          <wp:simplePos x="0" y="0"/>
          <wp:positionH relativeFrom="column">
            <wp:posOffset>-599440</wp:posOffset>
          </wp:positionH>
          <wp:positionV relativeFrom="paragraph">
            <wp:posOffset>116205</wp:posOffset>
          </wp:positionV>
          <wp:extent cx="7190740" cy="8108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74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p w:rsidR="003C79A7" w:rsidRDefault="003C79A7" w:rsidP="003C79A7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3C79A7" w:rsidRDefault="003C79A7" w:rsidP="00B63C1B">
    <w:pPr>
      <w:pStyle w:val="Header"/>
      <w:rPr>
        <w:rFonts w:ascii="Arial" w:hAnsi="Arial" w:cs="Arial"/>
        <w:color w:val="000000"/>
        <w:sz w:val="17"/>
        <w:lang w:val="fr-CA"/>
      </w:rPr>
    </w:pPr>
  </w:p>
  <w:p w:rsidR="003C79A7" w:rsidRDefault="003C79A7" w:rsidP="003C79A7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3C79A7" w:rsidRDefault="003C79A7" w:rsidP="00B63C1B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:rsidR="003C79A7" w:rsidRDefault="003C79A7" w:rsidP="003C79A7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3C79A7" w:rsidRDefault="003C79A7" w:rsidP="003C79A7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3C79A7" w:rsidRDefault="003C79A7" w:rsidP="003C79A7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6E02A2" w:rsidRPr="003C79A7" w:rsidRDefault="006E02A2" w:rsidP="003C7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F1"/>
    <w:multiLevelType w:val="hybridMultilevel"/>
    <w:tmpl w:val="7D0E0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104"/>
    <w:multiLevelType w:val="hybridMultilevel"/>
    <w:tmpl w:val="041CF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2748"/>
    <w:multiLevelType w:val="hybridMultilevel"/>
    <w:tmpl w:val="809EAB8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AA3E96"/>
    <w:multiLevelType w:val="hybridMultilevel"/>
    <w:tmpl w:val="89389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73A4"/>
    <w:multiLevelType w:val="hybridMultilevel"/>
    <w:tmpl w:val="A970A5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E15857"/>
    <w:multiLevelType w:val="hybridMultilevel"/>
    <w:tmpl w:val="ADE4A3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4DD7"/>
    <w:multiLevelType w:val="hybridMultilevel"/>
    <w:tmpl w:val="10749D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4B18"/>
    <w:multiLevelType w:val="hybridMultilevel"/>
    <w:tmpl w:val="428C6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D5769"/>
    <w:multiLevelType w:val="hybridMultilevel"/>
    <w:tmpl w:val="ADF4D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41FB7"/>
    <w:multiLevelType w:val="hybridMultilevel"/>
    <w:tmpl w:val="AEA20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94901"/>
    <w:multiLevelType w:val="hybridMultilevel"/>
    <w:tmpl w:val="FE78E1F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071B1"/>
    <w:multiLevelType w:val="hybridMultilevel"/>
    <w:tmpl w:val="8F52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F1C8B"/>
    <w:multiLevelType w:val="multilevel"/>
    <w:tmpl w:val="851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80225"/>
    <w:multiLevelType w:val="multilevel"/>
    <w:tmpl w:val="EFD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13720"/>
    <w:multiLevelType w:val="hybridMultilevel"/>
    <w:tmpl w:val="A6AED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A28F6"/>
    <w:multiLevelType w:val="hybridMultilevel"/>
    <w:tmpl w:val="50AAF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3419"/>
    <w:multiLevelType w:val="hybridMultilevel"/>
    <w:tmpl w:val="B43E24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E81797"/>
    <w:multiLevelType w:val="multilevel"/>
    <w:tmpl w:val="638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57966"/>
    <w:multiLevelType w:val="hybridMultilevel"/>
    <w:tmpl w:val="40BC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D2108"/>
    <w:multiLevelType w:val="multilevel"/>
    <w:tmpl w:val="E4A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F1D68"/>
    <w:multiLevelType w:val="hybridMultilevel"/>
    <w:tmpl w:val="9F7CB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17"/>
  </w:num>
  <w:num w:numId="6">
    <w:abstractNumId w:val="19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20"/>
  </w:num>
  <w:num w:numId="12">
    <w:abstractNumId w:val="7"/>
  </w:num>
  <w:num w:numId="13">
    <w:abstractNumId w:val="18"/>
  </w:num>
  <w:num w:numId="14">
    <w:abstractNumId w:val="14"/>
  </w:num>
  <w:num w:numId="15">
    <w:abstractNumId w:val="15"/>
  </w:num>
  <w:num w:numId="16">
    <w:abstractNumId w:val="3"/>
  </w:num>
  <w:num w:numId="17">
    <w:abstractNumId w:val="4"/>
  </w:num>
  <w:num w:numId="18">
    <w:abstractNumId w:val="6"/>
  </w:num>
  <w:num w:numId="19">
    <w:abstractNumId w:val="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34"/>
    <w:rsid w:val="00016105"/>
    <w:rsid w:val="00047DAB"/>
    <w:rsid w:val="00062D3A"/>
    <w:rsid w:val="0007504A"/>
    <w:rsid w:val="00090570"/>
    <w:rsid w:val="000913B3"/>
    <w:rsid w:val="000B1EE7"/>
    <w:rsid w:val="000B5248"/>
    <w:rsid w:val="000D3D2A"/>
    <w:rsid w:val="000D58F2"/>
    <w:rsid w:val="000E03A1"/>
    <w:rsid w:val="000F0698"/>
    <w:rsid w:val="000F3B06"/>
    <w:rsid w:val="000F796E"/>
    <w:rsid w:val="00114E33"/>
    <w:rsid w:val="00124032"/>
    <w:rsid w:val="001567BF"/>
    <w:rsid w:val="00172816"/>
    <w:rsid w:val="001865B4"/>
    <w:rsid w:val="001921B1"/>
    <w:rsid w:val="001B0DA1"/>
    <w:rsid w:val="001F40FC"/>
    <w:rsid w:val="002004B9"/>
    <w:rsid w:val="002060BE"/>
    <w:rsid w:val="0021745D"/>
    <w:rsid w:val="002306E6"/>
    <w:rsid w:val="00287509"/>
    <w:rsid w:val="00290D9C"/>
    <w:rsid w:val="002A5413"/>
    <w:rsid w:val="002A7734"/>
    <w:rsid w:val="002B63B3"/>
    <w:rsid w:val="0030011C"/>
    <w:rsid w:val="003150BA"/>
    <w:rsid w:val="003235EE"/>
    <w:rsid w:val="00383C60"/>
    <w:rsid w:val="003C525E"/>
    <w:rsid w:val="003C79A7"/>
    <w:rsid w:val="003E11B1"/>
    <w:rsid w:val="003E378E"/>
    <w:rsid w:val="003F7E4C"/>
    <w:rsid w:val="00405FDA"/>
    <w:rsid w:val="004160EC"/>
    <w:rsid w:val="00461927"/>
    <w:rsid w:val="004823AF"/>
    <w:rsid w:val="004D55FD"/>
    <w:rsid w:val="004F48B4"/>
    <w:rsid w:val="005452F0"/>
    <w:rsid w:val="00545FA9"/>
    <w:rsid w:val="00550821"/>
    <w:rsid w:val="00570404"/>
    <w:rsid w:val="00591CBD"/>
    <w:rsid w:val="00597641"/>
    <w:rsid w:val="006276DD"/>
    <w:rsid w:val="00642A30"/>
    <w:rsid w:val="006800A1"/>
    <w:rsid w:val="006A57F6"/>
    <w:rsid w:val="006C3F05"/>
    <w:rsid w:val="006D73EC"/>
    <w:rsid w:val="006E02A2"/>
    <w:rsid w:val="006F72A7"/>
    <w:rsid w:val="0074633F"/>
    <w:rsid w:val="00764EF9"/>
    <w:rsid w:val="007951A4"/>
    <w:rsid w:val="007A0D82"/>
    <w:rsid w:val="007B00CD"/>
    <w:rsid w:val="00806D06"/>
    <w:rsid w:val="008378FD"/>
    <w:rsid w:val="0087755D"/>
    <w:rsid w:val="008B1ED3"/>
    <w:rsid w:val="00935AED"/>
    <w:rsid w:val="009458E4"/>
    <w:rsid w:val="00955583"/>
    <w:rsid w:val="00964F33"/>
    <w:rsid w:val="009B621D"/>
    <w:rsid w:val="00A450D1"/>
    <w:rsid w:val="00A6778E"/>
    <w:rsid w:val="00AA6DA5"/>
    <w:rsid w:val="00AB4A1D"/>
    <w:rsid w:val="00AC144F"/>
    <w:rsid w:val="00AC47CF"/>
    <w:rsid w:val="00AE0729"/>
    <w:rsid w:val="00AE1287"/>
    <w:rsid w:val="00B050A5"/>
    <w:rsid w:val="00B2071C"/>
    <w:rsid w:val="00B27A7C"/>
    <w:rsid w:val="00B422F3"/>
    <w:rsid w:val="00B45FB3"/>
    <w:rsid w:val="00B63C1B"/>
    <w:rsid w:val="00B670DA"/>
    <w:rsid w:val="00B946BC"/>
    <w:rsid w:val="00BA76F4"/>
    <w:rsid w:val="00BD23E7"/>
    <w:rsid w:val="00BE0F6A"/>
    <w:rsid w:val="00BF1D59"/>
    <w:rsid w:val="00C06D98"/>
    <w:rsid w:val="00C24452"/>
    <w:rsid w:val="00C30AF1"/>
    <w:rsid w:val="00C4534B"/>
    <w:rsid w:val="00C57D0B"/>
    <w:rsid w:val="00C77A9E"/>
    <w:rsid w:val="00C77BE8"/>
    <w:rsid w:val="00CA2F68"/>
    <w:rsid w:val="00CA79C7"/>
    <w:rsid w:val="00CD2FCD"/>
    <w:rsid w:val="00CD4382"/>
    <w:rsid w:val="00D02B47"/>
    <w:rsid w:val="00D32649"/>
    <w:rsid w:val="00D41812"/>
    <w:rsid w:val="00D42D98"/>
    <w:rsid w:val="00D54CE4"/>
    <w:rsid w:val="00D57C50"/>
    <w:rsid w:val="00D9721A"/>
    <w:rsid w:val="00DE6234"/>
    <w:rsid w:val="00DF3408"/>
    <w:rsid w:val="00DF5421"/>
    <w:rsid w:val="00E053CF"/>
    <w:rsid w:val="00E33B5D"/>
    <w:rsid w:val="00E35F47"/>
    <w:rsid w:val="00E404B7"/>
    <w:rsid w:val="00E52209"/>
    <w:rsid w:val="00E54DFF"/>
    <w:rsid w:val="00E77873"/>
    <w:rsid w:val="00EA4150"/>
    <w:rsid w:val="00EA7754"/>
    <w:rsid w:val="00ED5CC8"/>
    <w:rsid w:val="00F05EC8"/>
    <w:rsid w:val="00F27632"/>
    <w:rsid w:val="00F34BE0"/>
    <w:rsid w:val="00F63AB0"/>
    <w:rsid w:val="00F674E5"/>
    <w:rsid w:val="00F82307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8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nada.ca/fr/secretariat-conseil-tresor/sujets/regimes-assurance/regime-assurance-gesti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ada.ca/fr/secretariat-conseil-tresor/sujets/regimes-assurance/regime-assurance-invalidit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nada.ca/fr/secretariat-conseil-tresor/sujets/regimes-assurance/regime-assurance-gest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nada.ca/fr/secretariat-conseil-tresor/sujets/regimes-assurance/regime-assurance-invalidite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ANOUE\AppData\Local\Microsoft\Windows\INetCache\IE\VQTA5D6H\Fact%20Sheet%20Template%20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CD5F-5301-4CF0-89FF-A9E5544A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.docx</Template>
  <TotalTime>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TBS-SCT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Lanoue</dc:creator>
  <cp:lastModifiedBy>Wall, Janice</cp:lastModifiedBy>
  <cp:revision>9</cp:revision>
  <cp:lastPrinted>2017-03-01T18:57:00Z</cp:lastPrinted>
  <dcterms:created xsi:type="dcterms:W3CDTF">2017-03-22T22:41:00Z</dcterms:created>
  <dcterms:modified xsi:type="dcterms:W3CDTF">2017-07-11T21:40:00Z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e0b8ae14-8cbf-4d1a-a0dd-02255d6e29cb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